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F6D" w:rsidRDefault="00F96F6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96F6D" w:rsidRDefault="00F96F6D">
      <w:pPr>
        <w:pStyle w:val="ConsPlusNormal"/>
        <w:jc w:val="both"/>
        <w:outlineLvl w:val="0"/>
      </w:pPr>
    </w:p>
    <w:p w:rsidR="00F96F6D" w:rsidRDefault="00F96F6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96F6D" w:rsidRDefault="00F96F6D">
      <w:pPr>
        <w:pStyle w:val="ConsPlusTitle"/>
        <w:jc w:val="center"/>
      </w:pPr>
    </w:p>
    <w:p w:rsidR="00F96F6D" w:rsidRDefault="00F96F6D">
      <w:pPr>
        <w:pStyle w:val="ConsPlusTitle"/>
        <w:jc w:val="center"/>
      </w:pPr>
      <w:r>
        <w:t>ПОСТАНОВЛЕНИЕ</w:t>
      </w:r>
    </w:p>
    <w:p w:rsidR="00F96F6D" w:rsidRDefault="00F96F6D">
      <w:pPr>
        <w:pStyle w:val="ConsPlusTitle"/>
        <w:jc w:val="center"/>
      </w:pPr>
      <w:r>
        <w:t>от 24 декабря 2016 г. N 1474</w:t>
      </w:r>
    </w:p>
    <w:p w:rsidR="00F96F6D" w:rsidRDefault="00F96F6D">
      <w:pPr>
        <w:pStyle w:val="ConsPlusTitle"/>
        <w:jc w:val="center"/>
      </w:pPr>
    </w:p>
    <w:p w:rsidR="00F96F6D" w:rsidRDefault="00F96F6D">
      <w:pPr>
        <w:pStyle w:val="ConsPlusTitle"/>
        <w:jc w:val="center"/>
      </w:pPr>
      <w:r>
        <w:t>ОБ УСТАНОВЛЕНИИ</w:t>
      </w:r>
    </w:p>
    <w:p w:rsidR="00F96F6D" w:rsidRDefault="00F96F6D">
      <w:pPr>
        <w:pStyle w:val="ConsPlusTitle"/>
        <w:jc w:val="center"/>
      </w:pPr>
      <w:r>
        <w:t>ТРЕБОВАНИЙ К КРЕДИТНЫМ ОРГАНИЗАЦИЯМ, В КОТОРЫХ ДОПУСКАЕТСЯ</w:t>
      </w:r>
    </w:p>
    <w:p w:rsidR="00F96F6D" w:rsidRDefault="00F96F6D">
      <w:pPr>
        <w:pStyle w:val="ConsPlusTitle"/>
        <w:jc w:val="center"/>
      </w:pPr>
      <w:r>
        <w:t>РАЗМЕЩЕНИЕ СРЕДСТВ ФОНДА ПЕРСОНАЛЬНОЙ ОТВЕТСТВЕННОСТИ</w:t>
      </w:r>
    </w:p>
    <w:p w:rsidR="00F96F6D" w:rsidRDefault="00F96F6D">
      <w:pPr>
        <w:pStyle w:val="ConsPlusTitle"/>
        <w:jc w:val="center"/>
      </w:pPr>
      <w:r>
        <w:t>ТУРОПЕРАТОРА В СФЕРЕ ВЫЕЗДНОГО ТУРИЗМА</w:t>
      </w:r>
    </w:p>
    <w:p w:rsidR="00F96F6D" w:rsidRDefault="00F96F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6F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F6D" w:rsidRDefault="00F96F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F6D" w:rsidRDefault="00F96F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6F6D" w:rsidRDefault="00F96F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6F6D" w:rsidRDefault="00F96F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30.12.2018 N 1758)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F6D" w:rsidRDefault="00F96F6D">
            <w:pPr>
              <w:pStyle w:val="ConsPlusNormal"/>
            </w:pPr>
          </w:p>
        </w:tc>
      </w:tr>
    </w:tbl>
    <w:p w:rsidR="00F96F6D" w:rsidRDefault="00F96F6D">
      <w:pPr>
        <w:pStyle w:val="ConsPlusNormal"/>
        <w:jc w:val="both"/>
      </w:pPr>
    </w:p>
    <w:p w:rsidR="00F96F6D" w:rsidRDefault="00F96F6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пятнадцатой статьи 11.6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F96F6D" w:rsidRDefault="00F96F6D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требования</w:t>
        </w:r>
      </w:hyperlink>
      <w:r>
        <w:t xml:space="preserve"> к кредитным организациям, в которых допускается размещение средств фонда персональной ответственности туроператора в сфере выездного туризма.</w:t>
      </w:r>
    </w:p>
    <w:p w:rsidR="00F96F6D" w:rsidRDefault="00F96F6D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2017 г.</w:t>
      </w:r>
    </w:p>
    <w:p w:rsidR="00F96F6D" w:rsidRDefault="00F96F6D">
      <w:pPr>
        <w:pStyle w:val="ConsPlusNormal"/>
        <w:jc w:val="both"/>
      </w:pPr>
    </w:p>
    <w:p w:rsidR="00F96F6D" w:rsidRDefault="00F96F6D">
      <w:pPr>
        <w:pStyle w:val="ConsPlusNormal"/>
        <w:jc w:val="right"/>
      </w:pPr>
      <w:r>
        <w:t>Председатель Правительства</w:t>
      </w:r>
    </w:p>
    <w:p w:rsidR="00F96F6D" w:rsidRDefault="00F96F6D">
      <w:pPr>
        <w:pStyle w:val="ConsPlusNormal"/>
        <w:jc w:val="right"/>
      </w:pPr>
      <w:r>
        <w:t>Российской Федерации</w:t>
      </w:r>
    </w:p>
    <w:p w:rsidR="00F96F6D" w:rsidRDefault="00F96F6D">
      <w:pPr>
        <w:pStyle w:val="ConsPlusNormal"/>
        <w:jc w:val="right"/>
      </w:pPr>
      <w:r>
        <w:t>Д.МЕДВЕДЕВ</w:t>
      </w:r>
    </w:p>
    <w:p w:rsidR="00F96F6D" w:rsidRDefault="00F96F6D">
      <w:pPr>
        <w:pStyle w:val="ConsPlusNormal"/>
        <w:jc w:val="both"/>
      </w:pPr>
    </w:p>
    <w:p w:rsidR="00F96F6D" w:rsidRDefault="00F96F6D">
      <w:pPr>
        <w:pStyle w:val="ConsPlusNormal"/>
        <w:jc w:val="both"/>
      </w:pPr>
    </w:p>
    <w:p w:rsidR="00F96F6D" w:rsidRDefault="00F96F6D">
      <w:pPr>
        <w:pStyle w:val="ConsPlusNormal"/>
        <w:jc w:val="both"/>
      </w:pPr>
    </w:p>
    <w:p w:rsidR="00F96F6D" w:rsidRDefault="00F96F6D">
      <w:pPr>
        <w:pStyle w:val="ConsPlusNormal"/>
        <w:jc w:val="both"/>
      </w:pPr>
    </w:p>
    <w:p w:rsidR="00F96F6D" w:rsidRDefault="00F96F6D">
      <w:pPr>
        <w:pStyle w:val="ConsPlusNormal"/>
        <w:jc w:val="both"/>
      </w:pPr>
    </w:p>
    <w:p w:rsidR="00F96F6D" w:rsidRDefault="00F96F6D">
      <w:pPr>
        <w:pStyle w:val="ConsPlusNormal"/>
        <w:jc w:val="right"/>
        <w:outlineLvl w:val="0"/>
      </w:pPr>
      <w:r>
        <w:t>Утверждены</w:t>
      </w:r>
    </w:p>
    <w:p w:rsidR="00F96F6D" w:rsidRDefault="00F96F6D">
      <w:pPr>
        <w:pStyle w:val="ConsPlusNormal"/>
        <w:jc w:val="right"/>
      </w:pPr>
      <w:r>
        <w:t>постановлением Правительства</w:t>
      </w:r>
    </w:p>
    <w:p w:rsidR="00F96F6D" w:rsidRDefault="00F96F6D">
      <w:pPr>
        <w:pStyle w:val="ConsPlusNormal"/>
        <w:jc w:val="right"/>
      </w:pPr>
      <w:r>
        <w:t>Российской Федерации</w:t>
      </w:r>
    </w:p>
    <w:p w:rsidR="00F96F6D" w:rsidRDefault="00F96F6D">
      <w:pPr>
        <w:pStyle w:val="ConsPlusNormal"/>
        <w:jc w:val="right"/>
      </w:pPr>
      <w:r>
        <w:t>от 24 декабря 2016 г. N 1474</w:t>
      </w:r>
    </w:p>
    <w:p w:rsidR="00F96F6D" w:rsidRDefault="00F96F6D">
      <w:pPr>
        <w:pStyle w:val="ConsPlusNormal"/>
        <w:jc w:val="both"/>
      </w:pPr>
    </w:p>
    <w:p w:rsidR="00F96F6D" w:rsidRDefault="00F96F6D">
      <w:pPr>
        <w:pStyle w:val="ConsPlusTitle"/>
        <w:jc w:val="center"/>
      </w:pPr>
      <w:bookmarkStart w:id="0" w:name="P30"/>
      <w:bookmarkEnd w:id="0"/>
      <w:r>
        <w:t>ТРЕБОВАНИЯ</w:t>
      </w:r>
    </w:p>
    <w:p w:rsidR="00F96F6D" w:rsidRDefault="00F96F6D">
      <w:pPr>
        <w:pStyle w:val="ConsPlusTitle"/>
        <w:jc w:val="center"/>
      </w:pPr>
      <w:r>
        <w:t>К КРЕДИТНЫМ ОРГАНИЗАЦИЯМ, В КОТОРЫХ ДОПУСКАЕТСЯ РАЗМЕЩЕНИЕ</w:t>
      </w:r>
    </w:p>
    <w:p w:rsidR="00F96F6D" w:rsidRDefault="00F96F6D">
      <w:pPr>
        <w:pStyle w:val="ConsPlusTitle"/>
        <w:jc w:val="center"/>
      </w:pPr>
      <w:r>
        <w:t>СРЕДСТВ ФОНДА ПЕРСОНАЛЬНОЙ ОТВЕТСТВЕННОСТИ ТУРОПЕРАТОРА</w:t>
      </w:r>
    </w:p>
    <w:p w:rsidR="00F96F6D" w:rsidRDefault="00F96F6D">
      <w:pPr>
        <w:pStyle w:val="ConsPlusTitle"/>
        <w:jc w:val="center"/>
      </w:pPr>
      <w:r>
        <w:t>В СФЕРЕ ВЫЕЗДНОГО ТУРИЗМА</w:t>
      </w:r>
    </w:p>
    <w:p w:rsidR="00F96F6D" w:rsidRDefault="00F96F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6F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F6D" w:rsidRDefault="00F96F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F6D" w:rsidRDefault="00F96F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6F6D" w:rsidRDefault="00F96F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6F6D" w:rsidRDefault="00F96F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30.12.2018 N 1758)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F6D" w:rsidRDefault="00F96F6D">
            <w:pPr>
              <w:pStyle w:val="ConsPlusNormal"/>
            </w:pPr>
          </w:p>
        </w:tc>
      </w:tr>
    </w:tbl>
    <w:p w:rsidR="00F96F6D" w:rsidRDefault="00F96F6D">
      <w:pPr>
        <w:pStyle w:val="ConsPlusNormal"/>
        <w:jc w:val="both"/>
      </w:pPr>
    </w:p>
    <w:p w:rsidR="00F96F6D" w:rsidRDefault="00F96F6D">
      <w:pPr>
        <w:pStyle w:val="ConsPlusNormal"/>
        <w:ind w:firstLine="540"/>
        <w:jc w:val="both"/>
      </w:pPr>
      <w:bookmarkStart w:id="1" w:name="P37"/>
      <w:bookmarkEnd w:id="1"/>
      <w:r>
        <w:t>1. Размещение средств фонда персональной ответственности туроператора в сфере выездного туризма на счетах или депозитах в кредитных организациях допускается в случае, если кредитные организации отвечают следующим требованиям:</w:t>
      </w:r>
    </w:p>
    <w:p w:rsidR="00F96F6D" w:rsidRDefault="00F96F6D">
      <w:pPr>
        <w:pStyle w:val="ConsPlusNormal"/>
        <w:spacing w:before="200"/>
        <w:ind w:firstLine="540"/>
        <w:jc w:val="both"/>
      </w:pPr>
      <w:r>
        <w:t>а) наличие у кредитной организации генеральной лицензии Центрального банка Российской Федерации на осуществление банковских операций;</w:t>
      </w:r>
    </w:p>
    <w:p w:rsidR="00F96F6D" w:rsidRDefault="00F96F6D">
      <w:pPr>
        <w:pStyle w:val="ConsPlusNormal"/>
        <w:spacing w:before="200"/>
        <w:ind w:firstLine="540"/>
        <w:jc w:val="both"/>
      </w:pPr>
      <w:r>
        <w:t xml:space="preserve">б) наличие у кредитной организации собственных средств (капитала) в размере не менее 250 млрд. рублей, рассчитываемых по </w:t>
      </w:r>
      <w:hyperlink r:id="rId8">
        <w:r>
          <w:rPr>
            <w:color w:val="0000FF"/>
          </w:rPr>
          <w:t>методике</w:t>
        </w:r>
      </w:hyperlink>
      <w:r>
        <w:t xml:space="preserve"> Центрального банка Российской Федерации, по состоянию на последнюю отчетную дату;</w:t>
      </w:r>
    </w:p>
    <w:p w:rsidR="00F96F6D" w:rsidRDefault="00F96F6D">
      <w:pPr>
        <w:pStyle w:val="ConsPlusNormal"/>
        <w:spacing w:before="200"/>
        <w:ind w:firstLine="540"/>
        <w:jc w:val="both"/>
      </w:pPr>
      <w:r>
        <w:t>в) осуществление кредитной организацией деятельности в течение не менее 5 лет с даты ее регистрации;</w:t>
      </w:r>
    </w:p>
    <w:p w:rsidR="00F96F6D" w:rsidRDefault="00F96F6D">
      <w:pPr>
        <w:pStyle w:val="ConsPlusNormal"/>
        <w:spacing w:before="200"/>
        <w:ind w:firstLine="540"/>
        <w:jc w:val="both"/>
      </w:pPr>
      <w:r>
        <w:t xml:space="preserve">г) участие кредитной организации в системе обязательного страхования вкладов в банках </w:t>
      </w:r>
      <w:r>
        <w:lastRenderedPageBreak/>
        <w:t>Российской Федерации;</w:t>
      </w:r>
    </w:p>
    <w:p w:rsidR="00F96F6D" w:rsidRDefault="00F96F6D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30.12.2018 N 1758)</w:t>
      </w:r>
    </w:p>
    <w:p w:rsidR="00F96F6D" w:rsidRDefault="00F96F6D">
      <w:pPr>
        <w:pStyle w:val="ConsPlusNormal"/>
        <w:spacing w:before="200"/>
        <w:ind w:firstLine="540"/>
        <w:jc w:val="both"/>
      </w:pPr>
      <w:r>
        <w:t>д) соответствие одному из следующих условий:</w:t>
      </w:r>
    </w:p>
    <w:p w:rsidR="00F96F6D" w:rsidRDefault="00F96F6D">
      <w:pPr>
        <w:pStyle w:val="ConsPlusNormal"/>
        <w:spacing w:before="200"/>
        <w:ind w:firstLine="540"/>
        <w:jc w:val="both"/>
      </w:pPr>
      <w:r>
        <w:t xml:space="preserve">нахождение кредитной организации под прямым или косвенным контролем Центрального банка Российской Федерации или Российской Федерации (кредитная организация включена в перечень кредитных организаций, размещаемый Центральным банком Российской Федерации на своем официальном сайте в информационно-телекоммуникационной сети "Интернет" в соответствии с </w:t>
      </w:r>
      <w:hyperlink r:id="rId10">
        <w:r>
          <w:rPr>
            <w:color w:val="0000FF"/>
          </w:rPr>
          <w:t>частью 3 статьи 2</w:t>
        </w:r>
      </w:hyperlink>
      <w:r>
        <w:t xml:space="preserve"> Федерального закона "Об открытии банковских счетов и аккредитивов, о заключении договоров банковского вклада, договора на ведение реестра владельцев ценных бумаг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законодательные акты Российской Федерации");</w:t>
      </w:r>
    </w:p>
    <w:p w:rsidR="00F96F6D" w:rsidRDefault="00F96F6D">
      <w:pPr>
        <w:pStyle w:val="ConsPlusNormal"/>
        <w:spacing w:before="200"/>
        <w:ind w:firstLine="540"/>
        <w:jc w:val="both"/>
      </w:pPr>
      <w:r>
        <w:t xml:space="preserve">заключение государственной корпорацией "Агентство по страхованию вкладов" с кредитной организацией договора субординированного займа и предоставление облигаций федерального займа либо заключение договора о приобретении привилегированных акций кредитной организации и оплата таких акций облигациями федерального займа в рамках мер по повышению капитализации, предусмотренных </w:t>
      </w:r>
      <w:hyperlink r:id="rId11">
        <w:r>
          <w:rPr>
            <w:color w:val="0000FF"/>
          </w:rPr>
          <w:t>статьями 3</w:t>
        </w:r>
      </w:hyperlink>
      <w:r>
        <w:t xml:space="preserve"> и </w:t>
      </w:r>
      <w:hyperlink r:id="rId12">
        <w:r>
          <w:rPr>
            <w:color w:val="0000FF"/>
          </w:rPr>
          <w:t>3.2</w:t>
        </w:r>
      </w:hyperlink>
      <w:r>
        <w:t xml:space="preserve"> Федерального закона "О внесении изменений в статью 11 Федерального закона "О страховании вкладов физических лиц в банках Российской Федерации" и статью 46 Федерального закона "О Центральном банке Российской Федерации (Банке России)" (указанная информация размещается государственной корпорацией "Агентство по страхованию вкладов" на своем официальном сайте в информационно-телекоммуникационной сети "Интернет").</w:t>
      </w:r>
    </w:p>
    <w:p w:rsidR="00F96F6D" w:rsidRDefault="00F96F6D">
      <w:pPr>
        <w:pStyle w:val="ConsPlusNormal"/>
        <w:spacing w:before="200"/>
        <w:ind w:firstLine="540"/>
        <w:jc w:val="both"/>
      </w:pPr>
      <w:r>
        <w:t xml:space="preserve">2. Обязательным требованием к договору банковского депозита с кредитной организацией, на основании которого средства фонда персональной ответственности туроператора в сфере выездного туризма размещаются на счетах или депозитах, предусмотренных </w:t>
      </w:r>
      <w:hyperlink w:anchor="P37">
        <w:r>
          <w:rPr>
            <w:color w:val="0000FF"/>
          </w:rPr>
          <w:t>пунктом 1</w:t>
        </w:r>
      </w:hyperlink>
      <w:r>
        <w:t xml:space="preserve"> настоящего документа, является наличие условия, в соответствии с которым в случае досрочного расторжения владельцем банковского депозита указанного договора в связи с тем, что кредитная организация перестала удовлетворять требованиям, предусмотренным настоящим документом, кредитная организация по требованию владельца банковского депозита возвращает ему сумму депозита и проценты по нему, начисленные исходя из процентной ставки, определенной этим договором.</w:t>
      </w:r>
    </w:p>
    <w:p w:rsidR="00F96F6D" w:rsidRDefault="00F96F6D">
      <w:pPr>
        <w:pStyle w:val="ConsPlusNormal"/>
        <w:jc w:val="both"/>
      </w:pPr>
    </w:p>
    <w:p w:rsidR="00F96F6D" w:rsidRDefault="00F96F6D">
      <w:pPr>
        <w:pStyle w:val="ConsPlusNormal"/>
        <w:jc w:val="both"/>
      </w:pPr>
    </w:p>
    <w:p w:rsidR="00F96F6D" w:rsidRDefault="00F96F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DDA" w:rsidRDefault="00FB6DDA">
      <w:bookmarkStart w:id="2" w:name="_GoBack"/>
      <w:bookmarkEnd w:id="2"/>
    </w:p>
    <w:sectPr w:rsidR="00FB6DDA" w:rsidSect="00CC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6D"/>
    <w:rsid w:val="00F96F6D"/>
    <w:rsid w:val="00F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B9F9E-804E-48B6-AD0E-500796C7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F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6F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96F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1FB4C9786C87E7D212F37BD0F8665138161863802D700D5A923BA3F6502C2E2C92E7038327F8897CEF9849D4UE56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1FB4C9786C87E7D212F37BD0F866513F13156D8523700D5A923BA3F6502C2E3E92BF0F8120E68A74FACE1892B1AAE4B4C633CBA9ABA5D7U259K" TargetMode="External"/><Relationship Id="rId12" Type="http://schemas.openxmlformats.org/officeDocument/2006/relationships/hyperlink" Target="consultantplus://offline/ref=561FB4C9786C87E7D212F37BD0F866513812156D862C700D5A923BA3F6502C2E3E92BF0F8120E68C7DFACE1892B1AAE4B4C633CBA9ABA5D7U25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1FB4C9786C87E7D212F37BD0F866513F12166D8628700D5A923BA3F6502C2E3E92BF0B8824EDDC2DB5CF44D4E3B9E7B3C630CBB5UA5BK" TargetMode="External"/><Relationship Id="rId11" Type="http://schemas.openxmlformats.org/officeDocument/2006/relationships/hyperlink" Target="consultantplus://offline/ref=561FB4C9786C87E7D212F37BD0F866513812156D862C700D5A923BA3F6502C2E3E92BF0F8120E68979FACE1892B1AAE4B4C633CBA9ABA5D7U259K" TargetMode="External"/><Relationship Id="rId5" Type="http://schemas.openxmlformats.org/officeDocument/2006/relationships/hyperlink" Target="consultantplus://offline/ref=561FB4C9786C87E7D212F37BD0F866513F13156D8523700D5A923BA3F6502C2E3E92BF0F8120E68A74FACE1892B1AAE4B4C633CBA9ABA5D7U259K" TargetMode="External"/><Relationship Id="rId10" Type="http://schemas.openxmlformats.org/officeDocument/2006/relationships/hyperlink" Target="consultantplus://offline/ref=561FB4C9786C87E7D212F37BD0F866513817106D882E700D5A923BA3F6502C2E3E92BF098A74B7CC29FC984EC8E5A7F8B1D830UC59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61FB4C9786C87E7D212F37BD0F866513F13156D8523700D5A923BA3F6502C2E3E92BF0F8120E68A74FACE1892B1AAE4B4C633CBA9ABA5D7U25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Бокий</dc:creator>
  <cp:keywords/>
  <dc:description/>
  <cp:lastModifiedBy> </cp:lastModifiedBy>
  <cp:revision>1</cp:revision>
  <dcterms:created xsi:type="dcterms:W3CDTF">2022-10-27T10:57:00Z</dcterms:created>
  <dcterms:modified xsi:type="dcterms:W3CDTF">2022-10-27T10:57:00Z</dcterms:modified>
</cp:coreProperties>
</file>